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48FCE" w14:textId="77777777" w:rsidR="00042FA4" w:rsidRPr="009C5A4B" w:rsidRDefault="0096006E" w:rsidP="0096006E">
      <w:pPr>
        <w:pStyle w:val="Nadpis1"/>
        <w:keepNext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C5A4B">
        <w:rPr>
          <w:rFonts w:ascii="Arial" w:hAnsi="Arial" w:cs="Arial"/>
          <w:sz w:val="20"/>
          <w:szCs w:val="20"/>
        </w:rPr>
        <w:t>Príloha č. 1</w:t>
      </w:r>
      <w:r w:rsidR="00B71B94" w:rsidRPr="009C5A4B">
        <w:rPr>
          <w:rFonts w:ascii="Arial" w:hAnsi="Arial" w:cs="Arial"/>
          <w:sz w:val="20"/>
          <w:szCs w:val="20"/>
        </w:rPr>
        <w:t>.</w:t>
      </w:r>
      <w:r w:rsidRPr="009C5A4B">
        <w:rPr>
          <w:rFonts w:ascii="Arial" w:hAnsi="Arial" w:cs="Arial"/>
          <w:sz w:val="20"/>
          <w:szCs w:val="20"/>
        </w:rPr>
        <w:t xml:space="preserve"> </w:t>
      </w:r>
    </w:p>
    <w:p w14:paraId="636D9019" w14:textId="77777777" w:rsidR="00042FA4" w:rsidRPr="009C5A4B" w:rsidRDefault="00042FA4" w:rsidP="0096006E">
      <w:pPr>
        <w:pStyle w:val="Nadpis1"/>
        <w:keepNext w:val="0"/>
        <w:rPr>
          <w:rFonts w:ascii="Arial" w:hAnsi="Arial" w:cs="Arial"/>
          <w:sz w:val="20"/>
          <w:szCs w:val="20"/>
        </w:rPr>
      </w:pPr>
    </w:p>
    <w:p w14:paraId="7D3E0D1C" w14:textId="77777777" w:rsidR="0096006E" w:rsidRPr="009C5A4B" w:rsidRDefault="0096006E" w:rsidP="0096006E">
      <w:pPr>
        <w:pStyle w:val="Nadpis1"/>
        <w:keepNext w:val="0"/>
        <w:rPr>
          <w:rFonts w:ascii="Arial" w:hAnsi="Arial" w:cs="Arial"/>
          <w:sz w:val="20"/>
          <w:szCs w:val="20"/>
        </w:rPr>
      </w:pPr>
      <w:r w:rsidRPr="009C5A4B">
        <w:rPr>
          <w:rFonts w:ascii="Arial" w:hAnsi="Arial" w:cs="Arial"/>
          <w:sz w:val="20"/>
          <w:szCs w:val="20"/>
        </w:rPr>
        <w:t>ČASŤ B: Práva a povinnosti týkajúce sa BOZP, OPP a ochrany životného prostredia</w:t>
      </w:r>
    </w:p>
    <w:p w14:paraId="5089D8F1" w14:textId="77777777" w:rsidR="0096006E" w:rsidRPr="009C5A4B" w:rsidRDefault="0096006E" w:rsidP="0096006E">
      <w:pPr>
        <w:pStyle w:val="Nadpis1"/>
        <w:keepNext w:val="0"/>
        <w:tabs>
          <w:tab w:val="left" w:pos="540"/>
        </w:tabs>
        <w:jc w:val="left"/>
        <w:rPr>
          <w:rFonts w:ascii="Arial" w:hAnsi="Arial" w:cs="Arial"/>
          <w:sz w:val="20"/>
          <w:szCs w:val="20"/>
        </w:rPr>
      </w:pPr>
    </w:p>
    <w:p w14:paraId="5354736F" w14:textId="6A11F644" w:rsidR="009C5A4B" w:rsidRDefault="009C5A4B" w:rsidP="00E13C9B">
      <w:pPr>
        <w:spacing w:after="120" w:line="240" w:lineRule="auto"/>
        <w:rPr>
          <w:rFonts w:ascii="Arial" w:hAnsi="Arial" w:cs="Arial"/>
          <w:sz w:val="20"/>
          <w:szCs w:val="20"/>
          <w:lang w:eastAsia="zh-CN"/>
        </w:rPr>
      </w:pPr>
      <w:r w:rsidRPr="009C5A4B">
        <w:rPr>
          <w:rFonts w:ascii="Arial" w:hAnsi="Arial" w:cs="Arial"/>
          <w:sz w:val="20"/>
          <w:szCs w:val="20"/>
          <w:lang w:eastAsia="zh-CN"/>
        </w:rPr>
        <w:t xml:space="preserve">Pre účely tejto </w:t>
      </w:r>
      <w:r w:rsidR="006D76CF">
        <w:rPr>
          <w:rFonts w:ascii="Arial" w:hAnsi="Arial" w:cs="Arial"/>
          <w:sz w:val="20"/>
          <w:szCs w:val="20"/>
          <w:lang w:eastAsia="zh-CN"/>
        </w:rPr>
        <w:t>P</w:t>
      </w:r>
      <w:r w:rsidRPr="009C5A4B">
        <w:rPr>
          <w:rFonts w:ascii="Arial" w:hAnsi="Arial" w:cs="Arial"/>
          <w:sz w:val="20"/>
          <w:szCs w:val="20"/>
          <w:lang w:eastAsia="zh-CN"/>
        </w:rPr>
        <w:t>rílohy sa pojmom „Zhotoviteľ“ rozumie „</w:t>
      </w:r>
      <w:r w:rsidR="0065568F">
        <w:rPr>
          <w:rFonts w:ascii="Arial" w:hAnsi="Arial" w:cs="Arial"/>
          <w:sz w:val="20"/>
          <w:szCs w:val="20"/>
          <w:lang w:eastAsia="zh-CN"/>
        </w:rPr>
        <w:t>Predávajúci</w:t>
      </w:r>
      <w:r w:rsidRPr="009C5A4B">
        <w:rPr>
          <w:rFonts w:ascii="Arial" w:hAnsi="Arial" w:cs="Arial"/>
          <w:sz w:val="20"/>
          <w:szCs w:val="20"/>
          <w:lang w:eastAsia="zh-CN"/>
        </w:rPr>
        <w:t>“ v zmysle Zmluvy.</w:t>
      </w:r>
    </w:p>
    <w:p w14:paraId="69DD5A04" w14:textId="3808B39F" w:rsidR="007E03E8" w:rsidRDefault="00802317" w:rsidP="00E13C9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 účely tejto Prílohy majú pojmy písané  veľkými začiatočnými písmenami tento význam:</w:t>
      </w:r>
    </w:p>
    <w:p w14:paraId="6BD32C7C" w14:textId="77777777" w:rsidR="00E13C9B" w:rsidRPr="00E13C9B" w:rsidRDefault="00E13C9B" w:rsidP="00E13C9B">
      <w:pPr>
        <w:pStyle w:val="tlZkladntextArial"/>
        <w:spacing w:after="120"/>
        <w:rPr>
          <w:b/>
          <w:sz w:val="20"/>
          <w:szCs w:val="20"/>
        </w:rPr>
      </w:pPr>
      <w:r w:rsidRPr="00E13C9B">
        <w:rPr>
          <w:b/>
          <w:sz w:val="20"/>
          <w:szCs w:val="20"/>
        </w:rPr>
        <w:t xml:space="preserve">BOZP </w:t>
      </w:r>
      <w:r w:rsidRPr="00E13C9B">
        <w:rPr>
          <w:sz w:val="20"/>
          <w:szCs w:val="20"/>
        </w:rPr>
        <w:t>bezpečnosť a ochrana zdravia pri práci</w:t>
      </w:r>
      <w:r w:rsidRPr="00E13C9B">
        <w:rPr>
          <w:rFonts w:cs="Arial"/>
          <w:sz w:val="20"/>
          <w:szCs w:val="20"/>
        </w:rPr>
        <w:t>;</w:t>
      </w:r>
    </w:p>
    <w:p w14:paraId="1F5E7381" w14:textId="77777777" w:rsidR="00E13C9B" w:rsidRPr="00E13C9B" w:rsidRDefault="00E13C9B" w:rsidP="00E13C9B">
      <w:pPr>
        <w:pStyle w:val="tlZkladntextArial"/>
        <w:spacing w:after="120"/>
        <w:rPr>
          <w:b/>
          <w:sz w:val="20"/>
          <w:szCs w:val="20"/>
        </w:rPr>
      </w:pPr>
      <w:r w:rsidRPr="00E13C9B">
        <w:rPr>
          <w:b/>
          <w:sz w:val="20"/>
          <w:szCs w:val="20"/>
        </w:rPr>
        <w:t xml:space="preserve">OPP </w:t>
      </w:r>
      <w:r w:rsidRPr="00E13C9B">
        <w:rPr>
          <w:sz w:val="20"/>
          <w:szCs w:val="20"/>
        </w:rPr>
        <w:t>ochrana</w:t>
      </w:r>
      <w:r w:rsidRPr="00E13C9B">
        <w:rPr>
          <w:b/>
          <w:sz w:val="20"/>
          <w:szCs w:val="20"/>
        </w:rPr>
        <w:t xml:space="preserve"> </w:t>
      </w:r>
      <w:r w:rsidRPr="00E13C9B">
        <w:rPr>
          <w:sz w:val="20"/>
          <w:szCs w:val="20"/>
        </w:rPr>
        <w:t>pred požiarmi</w:t>
      </w:r>
      <w:r w:rsidRPr="00E13C9B">
        <w:rPr>
          <w:rFonts w:cs="Arial"/>
          <w:sz w:val="20"/>
          <w:szCs w:val="20"/>
        </w:rPr>
        <w:t>;</w:t>
      </w:r>
    </w:p>
    <w:p w14:paraId="0581E96B" w14:textId="77777777" w:rsidR="00E13C9B" w:rsidRPr="00E13C9B" w:rsidRDefault="00E13C9B" w:rsidP="00E13C9B">
      <w:pPr>
        <w:pStyle w:val="tlZkladntextArial"/>
        <w:spacing w:after="120"/>
        <w:rPr>
          <w:b/>
          <w:sz w:val="20"/>
          <w:szCs w:val="20"/>
        </w:rPr>
      </w:pPr>
      <w:r w:rsidRPr="00E13C9B">
        <w:rPr>
          <w:b/>
          <w:sz w:val="20"/>
          <w:szCs w:val="20"/>
        </w:rPr>
        <w:t xml:space="preserve">OOPP </w:t>
      </w:r>
      <w:r w:rsidRPr="00E13C9B">
        <w:rPr>
          <w:sz w:val="20"/>
          <w:szCs w:val="20"/>
        </w:rPr>
        <w:t>osobné</w:t>
      </w:r>
      <w:r w:rsidRPr="00E13C9B">
        <w:rPr>
          <w:b/>
          <w:sz w:val="20"/>
          <w:szCs w:val="20"/>
        </w:rPr>
        <w:t xml:space="preserve"> </w:t>
      </w:r>
      <w:r w:rsidRPr="00E13C9B">
        <w:rPr>
          <w:sz w:val="20"/>
          <w:szCs w:val="20"/>
        </w:rPr>
        <w:t>ochranné pracovné prostriedky</w:t>
      </w:r>
      <w:r w:rsidRPr="00E13C9B">
        <w:rPr>
          <w:rFonts w:cs="Arial"/>
          <w:sz w:val="20"/>
          <w:szCs w:val="20"/>
        </w:rPr>
        <w:t>;</w:t>
      </w:r>
    </w:p>
    <w:p w14:paraId="63E46145" w14:textId="77777777" w:rsidR="00E13C9B" w:rsidRPr="00E13C9B" w:rsidRDefault="00E13C9B" w:rsidP="00E13C9B">
      <w:pPr>
        <w:pStyle w:val="tlZkladntextArial"/>
        <w:spacing w:after="120"/>
        <w:rPr>
          <w:rFonts w:cs="Arial"/>
          <w:sz w:val="20"/>
          <w:szCs w:val="20"/>
        </w:rPr>
      </w:pPr>
      <w:r w:rsidRPr="00E13C9B">
        <w:rPr>
          <w:rFonts w:cs="Arial"/>
          <w:b/>
          <w:sz w:val="20"/>
          <w:szCs w:val="20"/>
        </w:rPr>
        <w:t xml:space="preserve">Právne predpisy </w:t>
      </w:r>
      <w:r w:rsidRPr="00E13C9B">
        <w:rPr>
          <w:rFonts w:cs="Arial"/>
          <w:sz w:val="20"/>
          <w:szCs w:val="20"/>
        </w:rPr>
        <w:t>všetka národná (alebo štátna) legislatíva Slovenskej republiky, vrátane aplikovateľnej legislatívy Európskej únie, nariadenia, vyhlášky a ďalšie všeobecne záväzné právne predpisy legálne ustanovených orgánov verejnej moci ako aj medzinárodné zmluvy a dohovory, ktorými je Slovenská republika viazaná;</w:t>
      </w:r>
    </w:p>
    <w:p w14:paraId="4B748522" w14:textId="77777777" w:rsidR="00E13C9B" w:rsidRPr="00E13C9B" w:rsidRDefault="00E13C9B" w:rsidP="00E13C9B">
      <w:pPr>
        <w:pStyle w:val="tlZkladntextArial"/>
        <w:spacing w:after="120"/>
        <w:rPr>
          <w:rFonts w:cs="Arial"/>
          <w:b/>
          <w:sz w:val="20"/>
          <w:szCs w:val="20"/>
        </w:rPr>
      </w:pPr>
      <w:r w:rsidRPr="00E13C9B">
        <w:rPr>
          <w:b/>
          <w:sz w:val="20"/>
          <w:szCs w:val="20"/>
        </w:rPr>
        <w:t>Pracovisko Objednávateľa</w:t>
      </w:r>
      <w:r w:rsidRPr="00E13C9B">
        <w:rPr>
          <w:sz w:val="20"/>
          <w:szCs w:val="20"/>
        </w:rPr>
        <w:t xml:space="preserve"> je pracovisko, areál alebo objekt prevádzkovaný a/alebo spravovaný a/alebo užívaný Objednávateľom;</w:t>
      </w:r>
    </w:p>
    <w:p w14:paraId="502446DD" w14:textId="77777777" w:rsidR="00E13C9B" w:rsidRPr="00E13C9B" w:rsidRDefault="00E13C9B" w:rsidP="00E13C9B">
      <w:pPr>
        <w:pStyle w:val="tlZkladntextArial"/>
        <w:spacing w:after="120"/>
        <w:rPr>
          <w:rFonts w:cs="Arial"/>
          <w:b/>
          <w:sz w:val="20"/>
          <w:szCs w:val="20"/>
        </w:rPr>
      </w:pPr>
      <w:r w:rsidRPr="00E13C9B">
        <w:rPr>
          <w:rFonts w:cs="Arial"/>
          <w:b/>
          <w:sz w:val="20"/>
          <w:szCs w:val="20"/>
        </w:rPr>
        <w:t xml:space="preserve">Pracovníci Objednávateľa/Zhotoviteľa </w:t>
      </w:r>
      <w:r w:rsidRPr="00E13C9B">
        <w:rPr>
          <w:rFonts w:cs="Arial"/>
          <w:sz w:val="20"/>
          <w:szCs w:val="20"/>
        </w:rPr>
        <w:t>(písané malými začiatočnými písmenami)</w:t>
      </w:r>
      <w:r w:rsidRPr="00E13C9B">
        <w:rPr>
          <w:rFonts w:cs="Arial"/>
          <w:b/>
          <w:sz w:val="20"/>
          <w:szCs w:val="20"/>
        </w:rPr>
        <w:t xml:space="preserve"> </w:t>
      </w:r>
      <w:r w:rsidRPr="00E13C9B">
        <w:rPr>
          <w:rFonts w:cs="Arial"/>
          <w:sz w:val="20"/>
          <w:szCs w:val="20"/>
        </w:rPr>
        <w:t>všetky osoby vystupujúce pri plnení Zmluvy na strane príslušnej zmluvnej strany, pričom sa týmto pojmom súhrnne označujú zamestnanci príslušnej zmluvnej strany a/alebo subdodávateľa, alebo osoby v obdobnom pomere k príslušnej zmluvnej strane a/alebo subdodávateľovi, alebo akékoľvek tretie osoby konajúce v mene príslušnej zmluvnej strany a/alebo subdodávateľa;</w:t>
      </w:r>
    </w:p>
    <w:p w14:paraId="1ABF5A23" w14:textId="77777777" w:rsidR="00E13C9B" w:rsidRPr="00E13C9B" w:rsidRDefault="00E13C9B" w:rsidP="00E13C9B">
      <w:pPr>
        <w:pStyle w:val="seNormalny2"/>
        <w:tabs>
          <w:tab w:val="left" w:pos="9356"/>
        </w:tabs>
        <w:spacing w:before="0" w:after="120"/>
        <w:ind w:left="0" w:right="113"/>
        <w:rPr>
          <w:rFonts w:ascii="Arial" w:hAnsi="Arial" w:cs="Arial"/>
          <w:lang w:eastAsia="cs-CZ"/>
        </w:rPr>
      </w:pPr>
      <w:r w:rsidRPr="00E13C9B">
        <w:rPr>
          <w:rFonts w:ascii="Arial" w:hAnsi="Arial" w:cs="Arial"/>
          <w:b/>
          <w:lang w:eastAsia="cs-CZ"/>
        </w:rPr>
        <w:t>Príslušné orgány</w:t>
      </w:r>
      <w:r w:rsidRPr="00E13C9B">
        <w:rPr>
          <w:rFonts w:ascii="Arial" w:hAnsi="Arial" w:cs="Arial"/>
          <w:lang w:eastAsia="cs-CZ"/>
        </w:rPr>
        <w:t xml:space="preserve"> orgány štátnej správy alebo územnej samosprávy, ktoré sú v zmysle Právnych predpisov oprávnené vydávať povolenia, vyjadrenia, stanoviská, súhlasy, rozhodnutia, alebo akékoľvek iné akty vo vzťahu k realizácii plnenia v zmysle Zmluvy, alebo inak vykonávajú svoje kompetencie vyplývajúce im z Právnych predpisov;</w:t>
      </w:r>
    </w:p>
    <w:p w14:paraId="39F1BFFD" w14:textId="77777777" w:rsidR="00E13C9B" w:rsidRPr="00E13C9B" w:rsidRDefault="00E13C9B" w:rsidP="00E13C9B">
      <w:pPr>
        <w:pStyle w:val="tlZkladntextArial"/>
        <w:spacing w:after="120"/>
        <w:rPr>
          <w:sz w:val="20"/>
          <w:szCs w:val="20"/>
        </w:rPr>
      </w:pPr>
      <w:r w:rsidRPr="00E13C9B">
        <w:rPr>
          <w:b/>
          <w:sz w:val="20"/>
          <w:szCs w:val="20"/>
        </w:rPr>
        <w:t xml:space="preserve">Rozhodnutia Príslušných orgánov a ostatných osôb </w:t>
      </w:r>
      <w:r w:rsidRPr="00E13C9B">
        <w:rPr>
          <w:rFonts w:cs="Arial"/>
          <w:sz w:val="20"/>
          <w:szCs w:val="20"/>
        </w:rPr>
        <w:t>povolenia, vyjadrenia, stanoviská, súhlasy, rozhodnutia, alebo akékoľvek iné akty vydané Príslušnými orgánmi, organizáciami a/alebo dotknutými právnickými a/alebo fyzickými osobami (najmä, nie však výlučne, majiteľmi dotknutých nehnuteľností, správcami inžinierskych sietí atď.). Pre vylúčenie pochybností sa týmto pojmom súhrnne označujú aj ohlásenia, oznámenia, predkladanie všetkých potrebných informácií, dokladov a dokumentov týmto Príslušným orgánom, organizáciám a/alebo dotknutým právnickým a/alebo fyzickým osobám, ktoré je potrebné realizovať pre zabezpečenie vykonania Diela v súlade s požiadavkami Právnych predpisov a/alebo Zmluvy. Pre vylúčenie pochybností sa uvádza, že pojem Rozhodnutia Príslušných orgánov a ostatných osôb je všeobecným pojmom a vzťahuje sa na všetky povolenia, vyjadrenia, stanoviská, súhlasy, rozhodnutia alebo akékoľvek iné akty vydané Príslušnými orgánmi, a/alebo dotknutými právnickými a/alebo fyzickými osobami, ako aj ohlásenia, oznámenia, predkladanie všetkých potrebných informácií, dokladov a dokumentov týmto Príslušným orgánom, organizáciám a/alebo dotknutým právnickým  a/alebo fyzickým osobám, vrátane tých, ktoré sú osobitne označené v Zmluve. Pre vylúčenie pochybností sa ďalej uvádza, že pokiaľ je v Zmluve stanovená povinnosť zmluvnej strany zabezpečiť (vydanie) Rozhodnutia Príslušných orgánov a ostatných osôb, má sa na mysli zabezpečenie rozhodnutia, ktoré nie je napadnuteľné riadnymi opravnými prostriedkami, a je teda v zmysle Právnych predpisov právoplatné a vykonateľné, ak nie je v Zmluve uvedené inak.</w:t>
      </w:r>
    </w:p>
    <w:p w14:paraId="0A5F2D7F" w14:textId="77777777" w:rsidR="00E13C9B" w:rsidRPr="00E13C9B" w:rsidRDefault="00E13C9B" w:rsidP="00E13C9B">
      <w:pPr>
        <w:pStyle w:val="tlZkladntextArial"/>
        <w:spacing w:after="120"/>
        <w:rPr>
          <w:rFonts w:cs="Arial"/>
          <w:sz w:val="20"/>
          <w:szCs w:val="20"/>
        </w:rPr>
      </w:pPr>
      <w:r w:rsidRPr="00E13C9B">
        <w:rPr>
          <w:rFonts w:cs="Arial"/>
          <w:b/>
          <w:sz w:val="20"/>
          <w:szCs w:val="20"/>
        </w:rPr>
        <w:t>Zákon o odpadoch</w:t>
      </w:r>
      <w:r w:rsidRPr="00E13C9B">
        <w:rPr>
          <w:rFonts w:cs="Arial"/>
          <w:sz w:val="20"/>
          <w:szCs w:val="20"/>
        </w:rPr>
        <w:t xml:space="preserve"> zákon č. 79/2015 Z. z. o odpadoch a o zmene a doplnení niektorých zákonov v platnom znení;</w:t>
      </w:r>
    </w:p>
    <w:p w14:paraId="2826F3C9" w14:textId="77777777" w:rsidR="009C5A4B" w:rsidRPr="009C5A4B" w:rsidRDefault="009C5A4B" w:rsidP="009C5A4B">
      <w:pPr>
        <w:pStyle w:val="Zkladntext"/>
        <w:spacing w:before="120" w:after="120"/>
        <w:rPr>
          <w:rFonts w:ascii="Arial" w:hAnsi="Arial" w:cs="Arial"/>
          <w:b/>
          <w:szCs w:val="20"/>
        </w:rPr>
      </w:pPr>
      <w:r w:rsidRPr="009C5A4B">
        <w:rPr>
          <w:rFonts w:ascii="Arial" w:hAnsi="Arial" w:cs="Arial"/>
          <w:b/>
          <w:szCs w:val="20"/>
        </w:rPr>
        <w:t>Riziká vyplývajúce z použitia nebezpečných látok</w:t>
      </w:r>
    </w:p>
    <w:p w14:paraId="79632F99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Ak sú súčasťou Diela látky alebo ak boli pri vykonávaní Diela použité látky, ktoré majú jednu alebo viac nebezpečných vlastností, je Zhotoviteľ povinný v príslušnej dokumentácii charakterizovať riziká, vyplývajúce z použitia nebezpečných látok, identifikovať nebezpečenstvá a určiť opatrenia na bezpečnú manipuláciu, skladovanie a prepravu týchto látok resp. tohto Diela, a to najmä z hľadiska ochrany zdravia a/alebo životného prostredia. V prípade, ak súčasťou Diela je dodanie vecí, materiálov a/alebo Technologických zariadení, ktoré obsahujú nebezpečné chemické látky alebo nebezpečné chemické prípravky, Zhotoviteľ je povinný poskytnúť kartu bezpečnostných údajov v súlade s Právnymi predpismi.</w:t>
      </w:r>
    </w:p>
    <w:p w14:paraId="6D25F70B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 xml:space="preserve">Zhotoviteľ je povinný poskytnúť Objednávateľovi príslušné informácie o ohrozeniach vyplývajúcich z používania Diela v určených prevádzkových a užívateľských podmienkach, vrátane informácie o spôsobe ochrany pred týmito ohrozeniami, a to i na čas po odovzdaní </w:t>
      </w:r>
      <w:r w:rsidRPr="009C5A4B">
        <w:rPr>
          <w:rFonts w:ascii="Arial" w:hAnsi="Arial" w:cs="Arial"/>
          <w:szCs w:val="20"/>
        </w:rPr>
        <w:lastRenderedPageBreak/>
        <w:t>Diela a vykonať opatrenia vyplývajúce z Právnych predpisov na zabezpečenie BOZP, OPP a ochrany životného prostredia.</w:t>
      </w:r>
    </w:p>
    <w:p w14:paraId="64834194" w14:textId="77777777" w:rsidR="009C5A4B" w:rsidRPr="009C5A4B" w:rsidRDefault="009C5A4B" w:rsidP="009C5A4B">
      <w:pPr>
        <w:pStyle w:val="Zkladntext"/>
        <w:spacing w:before="120" w:after="120"/>
        <w:rPr>
          <w:rFonts w:ascii="Arial" w:hAnsi="Arial" w:cs="Arial"/>
          <w:b/>
          <w:szCs w:val="20"/>
        </w:rPr>
      </w:pPr>
      <w:r w:rsidRPr="009C5A4B">
        <w:rPr>
          <w:rFonts w:ascii="Arial" w:hAnsi="Arial" w:cs="Arial"/>
          <w:b/>
          <w:szCs w:val="20"/>
        </w:rPr>
        <w:t>Ochrana životného prostredia</w:t>
      </w:r>
    </w:p>
    <w:p w14:paraId="1A77A9DA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pri vykonávaní Diela povinný dodržiavať ustanovenia Právnych predpisov o ochrane životného prostredia.</w:t>
      </w:r>
    </w:p>
    <w:p w14:paraId="7BBBD6ED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zodpovedný za znečistenie a poškodenie životného prostredia, ku ktorému došlo v súvislosti s vykonávaním Diela. Zhotoviteľ je povinný odstrániť následky takého znečistenia a poškodenia a nahradiť spôsobené škody. Zároveň znáša všetky sankcie s tým spojené.</w:t>
      </w:r>
    </w:p>
    <w:p w14:paraId="70312DEB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dodržiavať Právne predpisy na úseku ochrany vôd, najmä vykonať primerané opatrenia pri zaobchádzaní s nebezpečnými látkami a plniť povinnosti v oblasti prevencie. Ak Zhotoviteľ spôsobí svojou činnosťou mimoriadne zhoršenie vôd, vystupuje ako pôvodca a zodpovedá za zneškodnenie mimoriadneho znečistenia a odstránenie jeho škodlivých následkov. Zhotoviteľ je povinný zabezpečiť príslušné doklady, povolenia, súhlasy a potrebné vyjadrenia Príslušných orgánov ochrany vôd.</w:t>
      </w:r>
    </w:p>
    <w:p w14:paraId="29BB78E6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Ak sa predmet plnenia Zmluvy dotýka zariadenia zdroja znečisťovania ovzdušia, alebo môže akýmkoľvek spôsobom ovplyvniť emisie znečisťujúcich látok alebo predstavuje zmenu príslušnej dokumentácie, je Zhotoviteľ povinný zabezpečiť schválenie Právnymi predpismi požadovaných dokladov a získanie potrebných vyjadrení a súhlasov Príslušných orgánov ochrany ovzdušia.</w:t>
      </w:r>
    </w:p>
    <w:p w14:paraId="1819D205" w14:textId="77777777" w:rsidR="007E03E8" w:rsidRPr="007E03E8" w:rsidRDefault="007E03E8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7E03E8">
        <w:rPr>
          <w:rFonts w:ascii="Arial" w:hAnsi="Arial"/>
          <w:szCs w:val="20"/>
        </w:rPr>
        <w:t xml:space="preserve">Pokiaľ je súčasťou </w:t>
      </w:r>
      <w:r w:rsidRPr="007E03E8">
        <w:rPr>
          <w:rFonts w:ascii="Arial" w:hAnsi="Arial" w:cs="Arial"/>
          <w:szCs w:val="20"/>
        </w:rPr>
        <w:t>plnenia Zhotoviteľa v zmysle Zmluvy akákoľvek činnosť, ktorá je v zmysle Právnych predpisov nakladaním s odpadom, je Zhotoviteľ povinný zabezpečiť si pred začatím poskytovania akejkoľvek časti plnenia všetky Rozhodnutia Príslušných orgánov a ostatných osôb potrebné pre takúto činnosť v zmysle Právnych predpisov, osobitne všetky príslušné autorizácie, súhlasy, registrácie a vyjadrenia v zmysle Zákon</w:t>
      </w:r>
      <w:r>
        <w:rPr>
          <w:rFonts w:ascii="Arial" w:hAnsi="Arial" w:cs="Arial"/>
          <w:szCs w:val="20"/>
        </w:rPr>
        <w:t>a</w:t>
      </w:r>
      <w:r w:rsidRPr="007E03E8">
        <w:rPr>
          <w:rFonts w:ascii="Arial" w:hAnsi="Arial" w:cs="Arial"/>
          <w:szCs w:val="20"/>
        </w:rPr>
        <w:t xml:space="preserve"> o odpadoch.</w:t>
      </w:r>
    </w:p>
    <w:p w14:paraId="319AC1B7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Zmluvné strany sa dohodli, že pokiaľ ide o odpady, vrátane stavebných odpadov, ktoré vzniknú pri servisných, čistiacich, udržiavacích, stavebných a demolačných prácach, vykonávaných v sídle alebo v mieste podnikania, organizačnej zložke alebo v inom mieste pôsobenia Objednávateľa Zhotoviteľ sa zaväzuje plniť všetky povinnosti držiteľa odpadov v zmysle Zákona o odpadoch; najmä nie však výlučne je povinný správne zaradiť odpad alebo zabezpečiť správnosť zaradenia odpadu podľa Katalógu odpadov, zhromažďovať odpady vytriedené podľa druhov odpadov a zabezpečiť ich pred znehodnotením, odcudzením, alebo iným nežiaducim a vplyvom, zhromažďovať oddelene nebezpečné druhy odpadov podľa ich druhov, označovať odpady určeným spôsobom a nakladať s nimi v súlade so Zákonom o odpadoch a osobitnými Právnymi predpismi, zabezpečiť spracovanie odpadu v zmysle hierarchie odpadového hospodárstva, a to tak že; Objednávateľovi poskytne informáciu, či je odpad možné využiť v súvislosti s plnením podľa Zmluvy, pokiaľ to nie je možné vyžiada si od Objednávateľa stanovisko k tomu, či má Objednávateľ záujem odpad využiť iným spôsobom, v prípade záporného stanoviska Objednávateľa bude Zhotoviteľ postupovať podľa Zákona o odpadoch a odpad spracuje v zmysle hierarchie odpadového hospodárstva, a to jeho:</w:t>
      </w:r>
    </w:p>
    <w:p w14:paraId="1906504A" w14:textId="77777777" w:rsidR="009C5A4B" w:rsidRPr="009C5A4B" w:rsidRDefault="009C5A4B" w:rsidP="009C5A4B">
      <w:pPr>
        <w:pStyle w:val="Zkladntext"/>
        <w:numPr>
          <w:ilvl w:val="2"/>
          <w:numId w:val="10"/>
        </w:numPr>
        <w:tabs>
          <w:tab w:val="clear" w:pos="567"/>
          <w:tab w:val="num" w:pos="1134"/>
        </w:tabs>
        <w:ind w:left="1134" w:hanging="283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prípravou na opätovné použitie v rámci svojej činnosti; odpad takto nevyužitý ponúkne na prípravu na opätovné použitie inému,</w:t>
      </w:r>
    </w:p>
    <w:p w14:paraId="2242F350" w14:textId="77777777" w:rsidR="009C5A4B" w:rsidRPr="009C5A4B" w:rsidRDefault="009C5A4B" w:rsidP="009C5A4B">
      <w:pPr>
        <w:pStyle w:val="Zkladntext"/>
        <w:numPr>
          <w:ilvl w:val="2"/>
          <w:numId w:val="10"/>
        </w:numPr>
        <w:tabs>
          <w:tab w:val="clear" w:pos="567"/>
          <w:tab w:val="num" w:pos="1134"/>
        </w:tabs>
        <w:ind w:left="1134" w:hanging="283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recykláciou v rámci svojej činnosti, ak nie je možné alebo účelné zabezpečiť jeho prípravu na opätovné použitie; odpad takto nevyužitý ponúknuť na recykláciu inému,</w:t>
      </w:r>
    </w:p>
    <w:p w14:paraId="7D7D0206" w14:textId="77777777" w:rsidR="009C5A4B" w:rsidRPr="009C5A4B" w:rsidRDefault="009C5A4B" w:rsidP="009C5A4B">
      <w:pPr>
        <w:pStyle w:val="Zkladntext"/>
        <w:numPr>
          <w:ilvl w:val="2"/>
          <w:numId w:val="10"/>
        </w:numPr>
        <w:tabs>
          <w:tab w:val="clear" w:pos="567"/>
          <w:tab w:val="num" w:pos="1134"/>
        </w:tabs>
        <w:ind w:left="1134" w:hanging="283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zhodnotením v rámci svojej činnosti, ak nie je možné alebo účelné zabezpečiť jeho recykláciu; odpad takto nevyužitý ponúkne na zhodnotenie inému,</w:t>
      </w:r>
    </w:p>
    <w:p w14:paraId="3FC3A8B3" w14:textId="77777777" w:rsidR="009C5A4B" w:rsidRPr="009C5A4B" w:rsidRDefault="009C5A4B" w:rsidP="009C5A4B">
      <w:pPr>
        <w:pStyle w:val="Zkladntext"/>
        <w:numPr>
          <w:ilvl w:val="2"/>
          <w:numId w:val="10"/>
        </w:numPr>
        <w:tabs>
          <w:tab w:val="clear" w:pos="567"/>
          <w:tab w:val="num" w:pos="1134"/>
        </w:tabs>
        <w:ind w:left="1134" w:hanging="283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zneškodnením, ak nie je možné alebo účelné zabezpečiť jeho recykláciu alebo iné zhodnotenie.</w:t>
      </w:r>
    </w:p>
    <w:p w14:paraId="502BB311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pri plnení v zmysle Zmluvy povinný odovzdať odpad len osobe oprávnenej nakladať s odpadmi podľa Zákona o odpadoch, ak nie je v príslušných ustanoveniach zákona o odpadoch ustanovené inak a ak nezabezpečuje ich zhodnotenie alebo zneškodnenie sám. Zhotoviteľ je povinný viesť a uchovávať pri plnení v zmysle Zmluvy evidenciu o druhoch a množstve odpadov a o nakladaní s nimi, minimálne vo forme evidencie tzv. vážnych lístkov, resp. dokladov o odovzdaní a prevzatí odpadu oprávnenej osobe na prevzatie, resp. zneškodnenie odpadu, a túto Objednávateľovi priebežne odovzdávať, kedykoľvek na požiadanie, resp. minimálne mesačne pozadu počas vykonávania Diela, ďalej ku koncu príslušného kalendárneho roka, pričom poslednú aktualizáciu tejto evidencie je povinný priložiť Objednávateľovi najneskôr k poslednému Preberaciemu protokolu k Dielu. Zhotoviteľ je pri odovzdávaní evidencie o druhoch a množstve odpadov a o nakladaní s nimi povinný Objednávateľovi odovzdať originály vážnych lístkov.</w:t>
      </w:r>
    </w:p>
    <w:p w14:paraId="37817D6D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lastRenderedPageBreak/>
        <w:t>Zhotoviteľ je povinný dodržiavať Právne predpisy na úseku ochrany prírody a krajiny ako aj vypracovať a zabezpečiť príslušné vyjadrenia a súhlasy Príslušných orgánov ochrany prírody a krajiny.</w:t>
      </w:r>
    </w:p>
    <w:p w14:paraId="7DB587CD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 povinný dodržiavať Právne predpisy o ochrane pred hlukom a vibráciami. Zhotoviteľ je povinný technickými, organizačnými a inými vhodnými opatreniami zabezpečiť, aby hluk neprekračoval najvyššie prípustné hodnoty ustanovené Právnymi predpismi.</w:t>
      </w:r>
    </w:p>
    <w:p w14:paraId="3827AF12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Zariadenia Zhotoviteľa prevádzkovať a udržiavať v takom technickom stave, aby nedochádzalo k úniku ropných látok, alebo iných nebezpečných látok. V prípade zistenia porušenia tohto záväzku má Objednávateľ právo pozastaviť prevádzku týchto mechanizmov a vykázať ich z miesta vykonávania Diela.</w:t>
      </w:r>
    </w:p>
    <w:p w14:paraId="65741915" w14:textId="77777777" w:rsidR="009C5A4B" w:rsidRPr="009C5A4B" w:rsidRDefault="009C5A4B" w:rsidP="009C5A4B">
      <w:pPr>
        <w:pStyle w:val="Zkladntext"/>
        <w:spacing w:before="120" w:after="120"/>
        <w:rPr>
          <w:rFonts w:ascii="Arial" w:hAnsi="Arial" w:cs="Arial"/>
          <w:b/>
          <w:szCs w:val="20"/>
        </w:rPr>
      </w:pPr>
      <w:r w:rsidRPr="009C5A4B">
        <w:rPr>
          <w:rFonts w:ascii="Arial" w:hAnsi="Arial" w:cs="Arial"/>
          <w:b/>
          <w:szCs w:val="20"/>
        </w:rPr>
        <w:t>BOZP a OPP</w:t>
      </w:r>
    </w:p>
    <w:p w14:paraId="31F328C6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Ak na jednom pracovisku plnia úlohy pracovníci Objednávateľa a Zhotoviteľa, musí byť spolupráca týchto osôb pri prevencii, príprave a vykonávaní opatrení na zaistenie BOZP, koordinácia činností a vzájomná informovanosť medzi nimi zabezpečená v súlade s Projektovou Dokumentáciou, osobitne s plánom BOZP.</w:t>
      </w:r>
    </w:p>
    <w:p w14:paraId="58700E38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Náklady, ktoré vzniknú z dôvodu nedodržiavania požiadaviek BOZP a OPP Zhotoviteľom, znáša Zhotoviteľ.</w:t>
      </w:r>
    </w:p>
    <w:p w14:paraId="5DDE4F76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V prípade vykonávania montážnych, opravárenských, stavebných, revíznych, zváračských a iných odborných prác na Pracovisku Objednávateľa alebo na zariadeniach Objednávateľa, Zhotoviteľ zabezpečí vybavenie pracoviska pre bezpečný výkon práce. Práce sa môžu začať až vtedy, ak je pracovisko náležite zabezpečené a vybavené.</w:t>
      </w:r>
    </w:p>
    <w:p w14:paraId="349B48E5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preberá plnú zodpovednosť za pracovné úrazy svojich pracovníkov na Pracoviskách Objednávateľa a za registráciu pracovných úrazov, ich evidenciu a hlásenie v zmysle Právnych predpisov. Zároveň je povinný o pracovnom úraze bezodkladne informovať bezpečnostného technika Objednávateľa.</w:t>
      </w:r>
    </w:p>
    <w:p w14:paraId="444849AA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sa zaväzuje vykonávať práce v súlade s Právnymi predpismi na úseku BOZP a OPP a internými predpismi Objednávateľa, s ktorými bol preukázateľne oboznámený.</w:t>
      </w:r>
    </w:p>
    <w:p w14:paraId="243EDBBF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 informovať Objednávateľa o možných nebezpečenstvách, ohrozeniach, rizikách a o preventívnych opatreniach na základe vypracovaného registra rizík, vyplývajúceho z vykonávaných prác v zmysle Právneho predpisu o BOZP. Zároveň je povinný informovať Objednávateľa o opatreniach na poskytnutie prvej pomoci, na vykonanie záchranných prác a na evakuáciu pracovníkov.</w:t>
      </w:r>
    </w:p>
    <w:p w14:paraId="1A80F1D3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pri zhotovovaní Stavby spolupracovať s koordinátorom dokumentácie a koordinátorom bezpečnosti, ktorého určil Objednávateľ v zmysle Právnych predpisov.</w:t>
      </w:r>
    </w:p>
    <w:p w14:paraId="5FC9F169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zabezpečiť príslušné oprávnenia pre pracovníkov jednotlivých profesií pre práce s požiadavkou na odbornú, prípadne zdravotnú spôsobilosť (zvárači, práce vo výškach a pod.).</w:t>
      </w:r>
    </w:p>
    <w:p w14:paraId="613F271A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v spolupráci s Objednávateľom pred začatím plnenia Zmluvy zabezpečiť oboznámenie svojich pracovníkov s platnými internými predpismi BOZP, OPP a environmentu včítane registra rizík a environmentálnych aspektov Objednávateľa.</w:t>
      </w:r>
    </w:p>
    <w:p w14:paraId="4ECC081B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zabezpečiť aby pracoviská, Zariadenia Zhotoviteľa a pod. boli udržiavané, resp. prevádzkované v súlade so zásadami BOZP. Za tým účelom je povinný vykonávať ich potrebnú údržbu a opravy.</w:t>
      </w:r>
    </w:p>
    <w:p w14:paraId="045FD0B9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dodržiavať zákaz fajčenia a zákaz požívania alkoholických nápojov, omamných a psychotropných látok na mieste plnenia v zmysle Zmluvy a na Pracoviskách Objednávateľa.</w:t>
      </w:r>
    </w:p>
    <w:p w14:paraId="6AD705AC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vybaviť svojich pracovníkov na vlastné náklady OOPP spôsobom zodpovedajúcim rizikám pracovnej činnosti.</w:t>
      </w:r>
    </w:p>
    <w:p w14:paraId="560187BA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 xml:space="preserve">Zhotoviteľ je povinný  označiť svojich pracovníkov a tiež ich OOPP viditeľným logom firmy Zhotoviteľa. Zhotoviteľ je povinný zabezpečiť pohyb svojich pracovníkov len na určenom pracovisku. Ustanovenie tohto bodu </w:t>
      </w:r>
      <w:r w:rsidR="006D76CF">
        <w:rPr>
          <w:rFonts w:ascii="Arial" w:hAnsi="Arial" w:cs="Arial"/>
          <w:szCs w:val="20"/>
        </w:rPr>
        <w:t>tejto Prílohy</w:t>
      </w:r>
      <w:r w:rsidRPr="009C5A4B">
        <w:rPr>
          <w:rFonts w:ascii="Arial" w:hAnsi="Arial" w:cs="Arial"/>
          <w:szCs w:val="20"/>
        </w:rPr>
        <w:t xml:space="preserve"> sa týka len zhotovovania Stavby, montážnych prác na Pracoviskách Objednávateľa a servisných prác na Pracoviskách Objednávateľa.</w:t>
      </w:r>
    </w:p>
    <w:p w14:paraId="13C0C84F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Činnosti spojené so zvýšeným nebezpečenstvom vzniku požiaru je Zhotoviteľ povinný vykonávať len v súlade s pokynom na zabezpečenie ochrany pred požiarmi vydaným zodpovednou osobou Objednávateľa. Činnosti na miestach so zvýšeným nebezpečenstvom vzniku požiaru je Zhotoviteľ povinný vykonávať v súlade s príslušným požiarnym poriadkom pracoviska. V prípade požiaru je Zhotoviteľ povinný ohlásiť požiar na ohlasovňu požiarov.</w:t>
      </w:r>
    </w:p>
    <w:p w14:paraId="65D13B17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sa zaväzuje umožniť Objednávateľovi vykonávať na pracoviskách kontroly zamerané na oblasť BOZP, OPP a environmentu vrátane kontrol požívania alkoholu, omamných alebo psychotropných látok.</w:t>
      </w:r>
    </w:p>
    <w:p w14:paraId="26D4CAA2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lastRenderedPageBreak/>
        <w:t>Ak Zhotoviteľ v súvislosti s plnením predmetu Zmluvy bude zabezpečovať práce ďalšou právnickou osobou alebo fyzickou osobou, ktorá je zamestnávateľom, je povinný zabezpečiť opatrenia v zmysle ustanovení  § 3 a § 6 nariadenia vlády SR č. 396/2006 Z. z. o minimálnych bezpečnostných a zdravotných požiadavkách na stavenisko</w:t>
      </w:r>
      <w:r w:rsidR="007E03E8">
        <w:rPr>
          <w:rFonts w:ascii="Arial" w:hAnsi="Arial" w:cs="Arial"/>
          <w:szCs w:val="20"/>
        </w:rPr>
        <w:t xml:space="preserve"> v platnom znení</w:t>
      </w:r>
      <w:r w:rsidRPr="009C5A4B">
        <w:rPr>
          <w:rFonts w:ascii="Arial" w:hAnsi="Arial" w:cs="Arial"/>
          <w:szCs w:val="20"/>
        </w:rPr>
        <w:t>.</w:t>
      </w:r>
    </w:p>
    <w:p w14:paraId="1532E9AA" w14:textId="77777777" w:rsidR="00A66166" w:rsidRDefault="00A66166" w:rsidP="009C5A4B">
      <w:pPr>
        <w:pStyle w:val="Zkladntext"/>
        <w:tabs>
          <w:tab w:val="left" w:pos="0"/>
        </w:tabs>
        <w:spacing w:before="120" w:after="120"/>
        <w:rPr>
          <w:rFonts w:ascii="Arial" w:hAnsi="Arial" w:cs="Arial"/>
          <w:b/>
          <w:szCs w:val="20"/>
        </w:rPr>
      </w:pPr>
    </w:p>
    <w:p w14:paraId="34B7186F" w14:textId="77777777" w:rsidR="00A66166" w:rsidRDefault="00A66166" w:rsidP="009C5A4B">
      <w:pPr>
        <w:pStyle w:val="Zkladntext"/>
        <w:tabs>
          <w:tab w:val="left" w:pos="0"/>
        </w:tabs>
        <w:spacing w:before="120" w:after="120"/>
        <w:rPr>
          <w:rFonts w:ascii="Arial" w:hAnsi="Arial" w:cs="Arial"/>
          <w:b/>
          <w:szCs w:val="20"/>
        </w:rPr>
      </w:pPr>
    </w:p>
    <w:p w14:paraId="4E68B865" w14:textId="77777777" w:rsidR="00A66166" w:rsidRDefault="00A66166" w:rsidP="009C5A4B">
      <w:pPr>
        <w:pStyle w:val="Zkladntext"/>
        <w:tabs>
          <w:tab w:val="left" w:pos="0"/>
        </w:tabs>
        <w:spacing w:before="120" w:after="120"/>
        <w:rPr>
          <w:rFonts w:ascii="Arial" w:hAnsi="Arial" w:cs="Arial"/>
          <w:b/>
          <w:szCs w:val="20"/>
        </w:rPr>
      </w:pPr>
    </w:p>
    <w:p w14:paraId="4C6E6432" w14:textId="6F31391B" w:rsidR="009C5A4B" w:rsidRPr="009C5A4B" w:rsidRDefault="009C5A4B" w:rsidP="009C5A4B">
      <w:pPr>
        <w:pStyle w:val="Zkladntext"/>
        <w:tabs>
          <w:tab w:val="left" w:pos="0"/>
        </w:tabs>
        <w:spacing w:before="120" w:after="120"/>
        <w:rPr>
          <w:rFonts w:ascii="Arial" w:hAnsi="Arial" w:cs="Arial"/>
          <w:b/>
          <w:szCs w:val="20"/>
        </w:rPr>
      </w:pPr>
      <w:r w:rsidRPr="009C5A4B">
        <w:rPr>
          <w:rFonts w:ascii="Arial" w:hAnsi="Arial" w:cs="Arial"/>
          <w:b/>
          <w:szCs w:val="20"/>
        </w:rPr>
        <w:t>Zásady pohybu a správania sa na administratívnych Pracoviskách Objednávateľa</w:t>
      </w:r>
    </w:p>
    <w:p w14:paraId="4206A69C" w14:textId="77777777" w:rsidR="009C5A4B" w:rsidRPr="009C5A4B" w:rsidRDefault="009C5A4B" w:rsidP="009C5A4B">
      <w:pPr>
        <w:pStyle w:val="Zkladntext"/>
        <w:numPr>
          <w:ilvl w:val="1"/>
          <w:numId w:val="10"/>
        </w:numPr>
        <w:ind w:left="567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Zhotoviteľ je povinný zabezpečiť, aby jeho pracovníci pri činnosti na Pracoviskách Objednávateľa, ktoré majú charakter administratívnych pracovísk dodržiavali nasledovné povinnosti a zákazy;</w:t>
      </w:r>
    </w:p>
    <w:p w14:paraId="14327D59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povinnosť pohybovať sa ako chodci výlučne po vyhradených komunikáciách (chodníkoch) pre chodcov a prechodoch pre chodcov, pokiaľ povaha vykonávaného Diela priamo a nevyhnutne nevyžaduje iné;</w:t>
      </w:r>
    </w:p>
    <w:p w14:paraId="6FFF8E87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povinnosť dodržiavať pri vedení motorového vozidla dopravné značenie a najvyššiu povolenú rýchlosť 30 km/h;</w:t>
      </w:r>
    </w:p>
    <w:p w14:paraId="3A0BD105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povinnosť rešpektovať všetky informačné, príkazové, výstražné a zákazové bezpečnostné značky a tabule;</w:t>
      </w:r>
    </w:p>
    <w:p w14:paraId="725E8FF2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zákaz vstupovať do priestorov do ktorých to nie je pre vykonávanie Diela priamo nevyhnutné;</w:t>
      </w:r>
    </w:p>
    <w:p w14:paraId="30C51CAB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zákaz vstupovať na Pracovisko Objednávateľa pod vplyvom alkoholických nápojov, omamných a psychotropných látok a zákaz takéto nápoje/látky na Pracovisko Objednávateľa vnášať či takéto nápoje/látky na Pracovisku Objednávateľa požívať;</w:t>
      </w:r>
    </w:p>
    <w:p w14:paraId="14E99960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zákaz fajčiť mimo miest priamo vyhradených na fajčenie;</w:t>
      </w:r>
    </w:p>
    <w:p w14:paraId="60ADB5C4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povinnosť pohybovať sa len v sprievode pracovníka  Objednávateľa;</w:t>
      </w:r>
    </w:p>
    <w:p w14:paraId="0322FB65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povinnosť v prípade poškodenia zdravia, pri vzniku škody na zariadeniach a o poruchách zariadení informovať zodpovednú osobu / správcu;</w:t>
      </w:r>
    </w:p>
    <w:p w14:paraId="70130756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povinnosť správať sa tak aby nedošlo k vzniku požiaru;</w:t>
      </w:r>
    </w:p>
    <w:p w14:paraId="250D708C" w14:textId="77777777" w:rsidR="009C5A4B" w:rsidRPr="009C5A4B" w:rsidRDefault="009C5A4B" w:rsidP="009C5A4B">
      <w:pPr>
        <w:pStyle w:val="Zkladntext"/>
        <w:numPr>
          <w:ilvl w:val="2"/>
          <w:numId w:val="11"/>
        </w:numPr>
        <w:tabs>
          <w:tab w:val="clear" w:pos="567"/>
          <w:tab w:val="num" w:pos="1134"/>
        </w:tabs>
        <w:ind w:left="1134" w:hanging="567"/>
        <w:rPr>
          <w:rFonts w:ascii="Arial" w:hAnsi="Arial" w:cs="Arial"/>
          <w:szCs w:val="20"/>
        </w:rPr>
      </w:pPr>
      <w:r w:rsidRPr="009C5A4B">
        <w:rPr>
          <w:rFonts w:ascii="Arial" w:hAnsi="Arial" w:cs="Arial"/>
          <w:szCs w:val="20"/>
        </w:rPr>
        <w:t>povinnosť riadiť sa, v prípade vzniku požiaru, inštrukciami protipožiarnej hliadky, požiarnymi poplachovými smernicami a požiarnym evakuačným plánom.</w:t>
      </w:r>
    </w:p>
    <w:p w14:paraId="0FA37079" w14:textId="77777777" w:rsidR="001212B1" w:rsidRPr="009C5A4B" w:rsidRDefault="001212B1" w:rsidP="009C5A4B">
      <w:pPr>
        <w:pStyle w:val="Zkladntext"/>
        <w:tabs>
          <w:tab w:val="left" w:pos="284"/>
        </w:tabs>
        <w:rPr>
          <w:rFonts w:ascii="Arial" w:hAnsi="Arial" w:cs="Arial"/>
          <w:szCs w:val="20"/>
        </w:rPr>
      </w:pPr>
    </w:p>
    <w:sectPr w:rsidR="001212B1" w:rsidRPr="009C5A4B" w:rsidSect="009C5A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5467D" w14:textId="77777777" w:rsidR="00B54B8E" w:rsidRDefault="00B54B8E" w:rsidP="00E13C9B">
      <w:pPr>
        <w:spacing w:after="0" w:line="240" w:lineRule="auto"/>
      </w:pPr>
      <w:r>
        <w:separator/>
      </w:r>
    </w:p>
  </w:endnote>
  <w:endnote w:type="continuationSeparator" w:id="0">
    <w:p w14:paraId="67AE0F1C" w14:textId="77777777" w:rsidR="00B54B8E" w:rsidRDefault="00B54B8E" w:rsidP="00E1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6DF30" w14:textId="77777777" w:rsidR="006C2FEB" w:rsidRDefault="006C2FE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3B738" w14:textId="77777777" w:rsidR="006C2FEB" w:rsidRDefault="006C2FE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353E2" w14:textId="77777777" w:rsidR="006C2FEB" w:rsidRDefault="006C2F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0FBC9" w14:textId="77777777" w:rsidR="00B54B8E" w:rsidRDefault="00B54B8E" w:rsidP="00E13C9B">
      <w:pPr>
        <w:spacing w:after="0" w:line="240" w:lineRule="auto"/>
      </w:pPr>
      <w:r>
        <w:separator/>
      </w:r>
    </w:p>
  </w:footnote>
  <w:footnote w:type="continuationSeparator" w:id="0">
    <w:p w14:paraId="07E870EB" w14:textId="77777777" w:rsidR="00B54B8E" w:rsidRDefault="00B54B8E" w:rsidP="00E1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C071F" w14:textId="77777777" w:rsidR="006C2FEB" w:rsidRDefault="006C2FE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66195" w14:textId="77777777" w:rsidR="006C2FEB" w:rsidRDefault="006C2FE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B390F" w14:textId="77777777" w:rsidR="006C2FEB" w:rsidRDefault="006C2F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22897"/>
    <w:multiLevelType w:val="hybridMultilevel"/>
    <w:tmpl w:val="4C0CE0F0"/>
    <w:lvl w:ilvl="0" w:tplc="3BDE0C62">
      <w:start w:val="1"/>
      <w:numFmt w:val="decimal"/>
      <w:lvlText w:val="1.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01B97"/>
    <w:multiLevelType w:val="hybridMultilevel"/>
    <w:tmpl w:val="5BE4B2AC"/>
    <w:lvl w:ilvl="0" w:tplc="041B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1622F3"/>
    <w:multiLevelType w:val="multilevel"/>
    <w:tmpl w:val="F33272AE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5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0F2154C"/>
    <w:multiLevelType w:val="hybridMultilevel"/>
    <w:tmpl w:val="C24209E8"/>
    <w:lvl w:ilvl="0" w:tplc="3BDE0C6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E7EF4"/>
    <w:multiLevelType w:val="multilevel"/>
    <w:tmpl w:val="A3881EF4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A6656CB"/>
    <w:multiLevelType w:val="multilevel"/>
    <w:tmpl w:val="38080ADE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8F14E4"/>
    <w:multiLevelType w:val="multilevel"/>
    <w:tmpl w:val="2CB80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56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CF0524"/>
    <w:multiLevelType w:val="hybridMultilevel"/>
    <w:tmpl w:val="867E3ACC"/>
    <w:lvl w:ilvl="0" w:tplc="3BDE0C6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20F8D"/>
    <w:multiLevelType w:val="multilevel"/>
    <w:tmpl w:val="A4087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223754A"/>
    <w:multiLevelType w:val="multilevel"/>
    <w:tmpl w:val="CCBE3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38F0D28"/>
    <w:multiLevelType w:val="hybridMultilevel"/>
    <w:tmpl w:val="B1743D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6E"/>
    <w:rsid w:val="00042FA4"/>
    <w:rsid w:val="000A1644"/>
    <w:rsid w:val="001212B1"/>
    <w:rsid w:val="00130D62"/>
    <w:rsid w:val="001334B4"/>
    <w:rsid w:val="001E6C00"/>
    <w:rsid w:val="002579DA"/>
    <w:rsid w:val="002A2082"/>
    <w:rsid w:val="002E511C"/>
    <w:rsid w:val="0044128B"/>
    <w:rsid w:val="00601D33"/>
    <w:rsid w:val="00611F43"/>
    <w:rsid w:val="0065568F"/>
    <w:rsid w:val="006C2FEB"/>
    <w:rsid w:val="006D76CF"/>
    <w:rsid w:val="007E03E8"/>
    <w:rsid w:val="00802317"/>
    <w:rsid w:val="008B56C7"/>
    <w:rsid w:val="008F5431"/>
    <w:rsid w:val="009011FD"/>
    <w:rsid w:val="00906936"/>
    <w:rsid w:val="00947324"/>
    <w:rsid w:val="0096006E"/>
    <w:rsid w:val="009729C3"/>
    <w:rsid w:val="009C5A4B"/>
    <w:rsid w:val="009C6FCD"/>
    <w:rsid w:val="00A251D8"/>
    <w:rsid w:val="00A66166"/>
    <w:rsid w:val="00A907B0"/>
    <w:rsid w:val="00B116EE"/>
    <w:rsid w:val="00B54B8E"/>
    <w:rsid w:val="00B60A9C"/>
    <w:rsid w:val="00B71B94"/>
    <w:rsid w:val="00B75F74"/>
    <w:rsid w:val="00BB7674"/>
    <w:rsid w:val="00CE7D48"/>
    <w:rsid w:val="00E13C9B"/>
    <w:rsid w:val="00E3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749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96006E"/>
    <w:pPr>
      <w:keepNext/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napToGrid w:val="0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006E"/>
    <w:rPr>
      <w:rFonts w:ascii="Times New Roman" w:eastAsia="SimSun" w:hAnsi="Times New Roman" w:cs="Times New Roman"/>
      <w:b/>
      <w:bCs/>
      <w:snapToGrid w:val="0"/>
      <w:sz w:val="24"/>
      <w:szCs w:val="24"/>
      <w:lang w:eastAsia="zh-CN"/>
    </w:rPr>
  </w:style>
  <w:style w:type="paragraph" w:styleId="Zkladntext">
    <w:name w:val="Body Text"/>
    <w:basedOn w:val="Normlny"/>
    <w:link w:val="ZkladntextChar"/>
    <w:rsid w:val="0096006E"/>
    <w:pPr>
      <w:spacing w:after="0" w:line="240" w:lineRule="auto"/>
      <w:jc w:val="both"/>
    </w:pPr>
    <w:rPr>
      <w:rFonts w:ascii="Times New Roman" w:eastAsia="SimSun" w:hAnsi="Times New Roman" w:cs="Times New Roman"/>
      <w:snapToGrid w:val="0"/>
      <w:sz w:val="20"/>
      <w:szCs w:val="24"/>
      <w:lang w:eastAsia="zh-CN"/>
    </w:rPr>
  </w:style>
  <w:style w:type="character" w:customStyle="1" w:styleId="ZkladntextChar">
    <w:name w:val="Základný text Char"/>
    <w:basedOn w:val="Predvolenpsmoodseku"/>
    <w:link w:val="Zkladntext"/>
    <w:rsid w:val="0096006E"/>
    <w:rPr>
      <w:rFonts w:ascii="Times New Roman" w:eastAsia="SimSun" w:hAnsi="Times New Roman" w:cs="Times New Roman"/>
      <w:snapToGrid w:val="0"/>
      <w:sz w:val="20"/>
      <w:szCs w:val="24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29C3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75F7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75F7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75F7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75F7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75F74"/>
    <w:rPr>
      <w:b/>
      <w:bCs/>
      <w:sz w:val="20"/>
      <w:szCs w:val="20"/>
    </w:rPr>
  </w:style>
  <w:style w:type="paragraph" w:customStyle="1" w:styleId="seNormalny2">
    <w:name w:val="seNormalny2"/>
    <w:basedOn w:val="Normlny"/>
    <w:link w:val="seNormalny2Char1"/>
    <w:rsid w:val="00601D33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601D33"/>
    <w:rPr>
      <w:rFonts w:ascii="Tahoma" w:eastAsia="Times New Roman" w:hAnsi="Tahoma" w:cs="Times New Roman"/>
      <w:sz w:val="20"/>
      <w:szCs w:val="20"/>
      <w:lang w:eastAsia="sk-SK"/>
    </w:rPr>
  </w:style>
  <w:style w:type="paragraph" w:customStyle="1" w:styleId="tlZkladntextArial">
    <w:name w:val="Štýl Základný text + Arial"/>
    <w:basedOn w:val="Zkladntext"/>
    <w:rsid w:val="00E13C9B"/>
    <w:rPr>
      <w:rFonts w:ascii="Arial" w:eastAsia="Times New Roman" w:hAnsi="Arial"/>
      <w:snapToGrid/>
      <w:sz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C2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2FEB"/>
  </w:style>
  <w:style w:type="paragraph" w:styleId="Pta">
    <w:name w:val="footer"/>
    <w:basedOn w:val="Normlny"/>
    <w:link w:val="PtaChar"/>
    <w:uiPriority w:val="99"/>
    <w:unhideWhenUsed/>
    <w:rsid w:val="006C2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2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2025-02-21T10:39:00Z</dcterms:created>
  <dcterms:modified xsi:type="dcterms:W3CDTF">2025-02-21T10:39:00Z</dcterms:modified>
</cp:coreProperties>
</file>